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2A3AE">
      <w:pPr>
        <w:tabs>
          <w:tab w:val="right" w:pos="9639"/>
        </w:tabs>
        <w:rPr>
          <w:rFonts w:hint="eastAsia" w:ascii="Times New Roman" w:hAnsi="Times New Roman" w:cs="Times New Roman" w:eastAsiaTheme="minorEastAsia"/>
          <w:b/>
          <w:i/>
          <w:sz w:val="24"/>
          <w:szCs w:val="24"/>
          <w:lang w:val="en-US" w:eastAsia="zh-CN"/>
        </w:rPr>
      </w:pPr>
      <w:r>
        <w:rPr>
          <w:rFonts w:hint="eastAsia" w:ascii="Times New Roman" w:hAnsi="Times New Roman" w:cs="Times New Roman"/>
          <w:b/>
          <w:iCs/>
          <w:sz w:val="24"/>
          <w:szCs w:val="24"/>
          <w:lang w:val="en-US"/>
        </w:rPr>
        <w:t>3GPP TSG-RAN WG2 Meeting #129bis</w:t>
      </w:r>
      <w:r>
        <w:rPr>
          <w:rFonts w:hint="eastAsia" w:ascii="Times New Roman" w:hAnsi="Times New Roman" w:cs="Times New Roman"/>
          <w:b/>
          <w:iCs/>
          <w:sz w:val="24"/>
          <w:szCs w:val="24"/>
        </w:rPr>
        <w:t xml:space="preserve">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hint="eastAsia" w:ascii="Times New Roman" w:hAnsi="Times New Roman" w:cs="Times New Roman"/>
          <w:b/>
          <w:i w:val="0"/>
          <w:iCs/>
          <w:sz w:val="24"/>
          <w:szCs w:val="24"/>
        </w:rPr>
        <w:t>R2-2502872</w:t>
      </w:r>
    </w:p>
    <w:p w14:paraId="4A94E216">
      <w:pPr>
        <w:outlineLvl w:val="0"/>
        <w:rPr>
          <w:rFonts w:ascii="Times New Roman" w:hAnsi="Times New Roman" w:cs="Times New Roman"/>
          <w:b/>
          <w:sz w:val="24"/>
          <w:szCs w:val="24"/>
        </w:rPr>
      </w:pPr>
      <w:r>
        <w:rPr>
          <w:rFonts w:ascii="Times New Roman" w:hAnsi="Times New Roman" w:cs="Times New Roman"/>
          <w:b/>
          <w:sz w:val="24"/>
          <w:szCs w:val="24"/>
          <w:lang w:val="en-US"/>
        </w:rPr>
        <w:t xml:space="preserve">Wuhan, China, 7th – 11th </w:t>
      </w:r>
      <w:r>
        <w:rPr>
          <w:rFonts w:hint="eastAsia" w:ascii="Times New Roman" w:hAnsi="Times New Roman" w:cs="Times New Roman"/>
          <w:b/>
          <w:sz w:val="24"/>
          <w:szCs w:val="24"/>
          <w:lang w:val="en-US" w:eastAsia="zh-CN"/>
        </w:rPr>
        <w:t>April</w:t>
      </w:r>
      <w:r>
        <w:rPr>
          <w:rFonts w:ascii="Times New Roman" w:hAnsi="Times New Roman" w:cs="Times New Roman"/>
          <w:b/>
          <w:sz w:val="24"/>
          <w:szCs w:val="24"/>
          <w:lang w:val="en-US"/>
        </w:rPr>
        <w:t>, 2025</w:t>
      </w:r>
    </w:p>
    <w:p w14:paraId="7C2B35E7">
      <w:pPr>
        <w:rPr>
          <w:rFonts w:ascii="Times New Roman" w:hAnsi="Times New Roman" w:cs="Times New Roman"/>
          <w:b/>
          <w:bCs/>
          <w:sz w:val="22"/>
        </w:rPr>
      </w:pPr>
      <w:bookmarkStart w:id="1" w:name="_GoBack"/>
      <w:bookmarkEnd w:id="1"/>
    </w:p>
    <w:p w14:paraId="66B8178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spacing w:after="120"/>
        <w:ind w:left="1985" w:hanging="1985"/>
        <w:rPr>
          <w:rFonts w:hint="default" w:ascii="Times New Roman" w:hAnsi="Times New Roman" w:cs="Times New Roman"/>
          <w:b/>
          <w:sz w:val="24"/>
          <w:szCs w:val="24"/>
          <w:lang w:val="en-US"/>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Remaining issues on timely RLC retransmission</w:t>
      </w:r>
    </w:p>
    <w:p w14:paraId="000A571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7.5</w:t>
      </w:r>
    </w:p>
    <w:p w14:paraId="3BAEA0BF">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56091610">
      <w:pPr>
        <w:spacing w:line="360" w:lineRule="auto"/>
        <w:rPr>
          <w:rFonts w:hint="eastAsia" w:ascii="Times New Roman" w:hAnsi="Times New Roman" w:cs="Times New Roman" w:eastAsiaTheme="minorEastAsia"/>
          <w:lang w:val="en-US" w:eastAsia="zh-CN"/>
        </w:rPr>
      </w:pPr>
      <w:r>
        <w:rPr>
          <w:rFonts w:hint="eastAsia" w:ascii="Times New Roman" w:hAnsi="Times New Roman" w:cs="Times New Roman"/>
        </w:rPr>
        <w:t>In RAN2 #12</w:t>
      </w:r>
      <w:r>
        <w:rPr>
          <w:rFonts w:hint="eastAsia" w:ascii="Times New Roman" w:hAnsi="Times New Roman" w:cs="Times New Roman"/>
          <w:lang w:val="en-US" w:eastAsia="zh-CN"/>
        </w:rPr>
        <w:t>9</w:t>
      </w:r>
      <w:r>
        <w:rPr>
          <w:rFonts w:hint="eastAsia" w:ascii="Times New Roman" w:hAnsi="Times New Roman" w:cs="Times New Roman"/>
        </w:rPr>
        <w:t xml:space="preserve"> meeting, </w:t>
      </w:r>
      <w:r>
        <w:rPr>
          <w:rFonts w:hint="eastAsia" w:ascii="Times New Roman" w:hAnsi="Times New Roman" w:cs="Times New Roman"/>
          <w:lang w:val="en-US" w:eastAsia="zh-CN"/>
        </w:rPr>
        <w:t xml:space="preserve">some </w:t>
      </w:r>
      <w:r>
        <w:rPr>
          <w:rFonts w:hint="eastAsia" w:ascii="Times New Roman" w:hAnsi="Times New Roman" w:cs="Times New Roman"/>
        </w:rPr>
        <w:t>agreements</w:t>
      </w:r>
      <w:r>
        <w:rPr>
          <w:rFonts w:hint="eastAsia" w:ascii="Times New Roman" w:hAnsi="Times New Roman" w:cs="Times New Roman"/>
          <w:lang w:val="en-US" w:eastAsia="zh-CN"/>
        </w:rPr>
        <w:t xml:space="preserve"> on </w:t>
      </w:r>
      <w:r>
        <w:rPr>
          <w:rFonts w:hint="default" w:ascii="Times New Roman" w:hAnsi="Times New Roman" w:cs="Times New Roman"/>
          <w:lang w:val="en-GB" w:eastAsia="en-GB"/>
        </w:rPr>
        <w:t>RLC timely retransmissions</w:t>
      </w:r>
      <w:r>
        <w:rPr>
          <w:rFonts w:hint="eastAsia" w:ascii="Times New Roman" w:hAnsi="Times New Roman" w:cs="Times New Roman"/>
          <w:lang w:val="en-US" w:eastAsia="zh-CN"/>
        </w:rPr>
        <w:t xml:space="preserve"> has been reached as follows:</w:t>
      </w:r>
    </w:p>
    <w:tbl>
      <w:tblPr>
        <w:tblStyle w:val="21"/>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572E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46264290">
            <w:pPr>
              <w:tabs>
                <w:tab w:val="left" w:pos="1622"/>
              </w:tabs>
              <w:spacing w:before="0"/>
              <w:ind w:left="0" w:firstLine="0"/>
              <w:rPr>
                <w:rFonts w:hint="default" w:ascii="Times New Roman" w:hAnsi="Times New Roman" w:eastAsia="MS Mincho" w:cs="Times New Roman"/>
                <w:b/>
                <w:szCs w:val="24"/>
                <w:lang w:val="en-GB" w:eastAsia="en-GB" w:bidi="ar-SA"/>
              </w:rPr>
            </w:pPr>
            <w:bookmarkStart w:id="0" w:name="_Toc54284460"/>
            <w:r>
              <w:rPr>
                <w:rFonts w:hint="default" w:ascii="Times New Roman" w:hAnsi="Times New Roman" w:eastAsia="MS Mincho" w:cs="Times New Roman"/>
                <w:b/>
                <w:szCs w:val="24"/>
                <w:lang w:val="en-GB" w:eastAsia="en-GB" w:bidi="ar-SA"/>
              </w:rPr>
              <w:t>Agreements on RLC timely retransmissions</w:t>
            </w:r>
          </w:p>
          <w:p w14:paraId="3F012C4F">
            <w:pPr>
              <w:pStyle w:val="54"/>
              <w:tabs>
                <w:tab w:val="clear" w:pos="1619"/>
              </w:tabs>
              <w:ind w:left="840" w:leftChars="0" w:hanging="420" w:firstLineChars="0"/>
            </w:pPr>
            <w:r>
              <w:rPr>
                <w:rFonts w:hint="default" w:ascii="Times New Roman" w:hAnsi="Times New Roman" w:eastAsia="MS Mincho" w:cs="Times New Roman"/>
                <w:b w:val="0"/>
                <w:kern w:val="2"/>
                <w:sz w:val="21"/>
                <w:szCs w:val="24"/>
                <w:lang w:val="en-GB" w:eastAsia="en-GB" w:bidi="ar-SA"/>
              </w:rPr>
              <w:t>Autonomous retransmission and/or polling should be triggered when the remaining time of an RLC SDU falls below a specified threshold. FFS if remaining time is determined based on discardTimer at PDCP or new timer at RLC.</w:t>
            </w:r>
          </w:p>
        </w:tc>
      </w:tr>
    </w:tbl>
    <w:p w14:paraId="0A04C973">
      <w:pPr>
        <w:spacing w:before="120" w:beforeLines="50" w:after="120" w:afterLines="50" w:line="360" w:lineRule="auto"/>
        <w:rPr>
          <w:rFonts w:hint="eastAsia"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w:t>
      </w:r>
      <w:r>
        <w:rPr>
          <w:rFonts w:hint="eastAsia" w:ascii="Times New Roman" w:hAnsi="Times New Roman" w:cs="Times New Roman"/>
        </w:rPr>
        <w:t xml:space="preserve">n we will </w:t>
      </w:r>
      <w:r>
        <w:rPr>
          <w:rFonts w:hint="eastAsia" w:ascii="Times New Roman" w:hAnsi="Times New Roman" w:cs="Times New Roman"/>
          <w:lang w:val="en-US" w:eastAsia="zh-CN"/>
        </w:rPr>
        <w:t xml:space="preserve">further </w:t>
      </w:r>
      <w:r>
        <w:rPr>
          <w:rFonts w:hint="eastAsia" w:ascii="Times New Roman" w:hAnsi="Times New Roman" w:cs="Times New Roman"/>
        </w:rPr>
        <w:t>discuss</w:t>
      </w:r>
      <w:r>
        <w:rPr>
          <w:rFonts w:hint="eastAsia" w:ascii="Times New Roman" w:hAnsi="Times New Roman" w:cs="Times New Roman"/>
          <w:lang w:val="en-US" w:eastAsia="zh-CN"/>
        </w:rPr>
        <w:t xml:space="preserve"> the FFS and other remaining issues for timely</w:t>
      </w:r>
      <w:r>
        <w:rPr>
          <w:rFonts w:hint="eastAsia" w:ascii="Times New Roman" w:hAnsi="Times New Roman" w:cs="Times New Roman"/>
        </w:rPr>
        <w:t xml:space="preserve"> </w:t>
      </w:r>
      <w:r>
        <w:rPr>
          <w:rFonts w:hint="eastAsia" w:ascii="Times New Roman" w:hAnsi="Times New Roman" w:cs="Times New Roman"/>
          <w:lang w:val="en-US" w:eastAsia="zh-CN"/>
        </w:rPr>
        <w:t>RLC re</w:t>
      </w:r>
      <w:r>
        <w:rPr>
          <w:rFonts w:hint="eastAsia" w:ascii="Times New Roman" w:hAnsi="Times New Roman" w:cs="Times New Roman"/>
        </w:rPr>
        <w:t>transm</w:t>
      </w:r>
      <w:r>
        <w:rPr>
          <w:rFonts w:hint="eastAsia" w:ascii="Times New Roman" w:hAnsi="Times New Roman" w:cs="Times New Roman"/>
          <w:lang w:val="en-US" w:eastAsia="zh-CN"/>
        </w:rPr>
        <w:t>ission</w:t>
      </w:r>
      <w:r>
        <w:rPr>
          <w:rFonts w:hint="eastAsia" w:ascii="Times New Roman" w:hAnsi="Times New Roman" w:cs="Times New Roman"/>
        </w:rPr>
        <w:t>.</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189FA960">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New RLC timer or reusing discardTimer</w:t>
      </w:r>
    </w:p>
    <w:p w14:paraId="109BDB47">
      <w:pPr>
        <w:spacing w:before="120" w:beforeLines="50" w:after="120" w:afterLines="50" w:line="360" w:lineRule="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As mentioned in last meeting by many companies, since there would be too many cross-layer indication from PDCP layer to RLC layer, we think introducing a timer in the RLC transmission entity is simpler and clearer to specify the triggering operation for autonomous retransmission and/or polling in RLC specification.</w:t>
      </w:r>
    </w:p>
    <w:p w14:paraId="613812A5">
      <w:pPr>
        <w:spacing w:after="120" w:afterLines="50" w:line="360" w:lineRule="auto"/>
        <w:rPr>
          <w:rFonts w:hint="eastAsia" w:ascii="Times New Roman" w:hAnsi="Times New Roman" w:cs="Times New Roman"/>
          <w:szCs w:val="21"/>
          <w:lang w:val="en-US" w:eastAsia="zh-CN"/>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new timer in the RLC transmission entity for each SDU to trigger autonomous retransmission and enhanced polling</w:t>
      </w:r>
      <w:r>
        <w:rPr>
          <w:rFonts w:ascii="Times New Roman" w:hAnsi="Times New Roman" w:cs="Times New Roman"/>
          <w:b/>
          <w:bCs/>
          <w:i/>
          <w:iCs/>
          <w:szCs w:val="21"/>
        </w:rPr>
        <w:t>.</w:t>
      </w:r>
    </w:p>
    <w:p w14:paraId="4D8DD24C">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Avoiding unnecessary polling</w:t>
      </w:r>
    </w:p>
    <w:p w14:paraId="26DC2E21">
      <w:pPr>
        <w:spacing w:before="120" w:beforeLines="50" w:after="120" w:afterLines="50" w:line="360" w:lineRule="auto"/>
        <w:rPr>
          <w:rFonts w:hint="eastAsia" w:ascii="Times New Roman" w:hAnsi="Times New Roman" w:eastAsia="宋体" w:cs="Times New Roman"/>
          <w:sz w:val="24"/>
          <w:szCs w:val="24"/>
          <w:lang w:val="en-US" w:eastAsia="zh-CN"/>
        </w:rPr>
      </w:pPr>
      <w:r>
        <w:rPr>
          <w:rFonts w:hint="eastAsia" w:ascii="Times New Roman" w:hAnsi="Times New Roman" w:cs="Times New Roman"/>
          <w:szCs w:val="21"/>
          <w:lang w:val="en-US" w:eastAsia="zh-CN"/>
        </w:rPr>
        <w:t xml:space="preserve">For the enhanced polling mechanism, it can be triggered based on the remaining time of an SDU, but its effect is not limited to that SDU, as the corresponding status report will reflect the acknowledgment status of other SDUs. Therefore, it is not necessary for every SDU to trigger enhanced polling. For example, if the remaining times of two SDUs are very close, and the first SDU has already triggered enhanced polling, there is no need for the second SDU to trigger enhanced polling; otherwise, it may lead to excessively frequent polling.   </w:t>
      </w:r>
    </w:p>
    <w:p w14:paraId="48B194EF">
      <w:pPr>
        <w:spacing w:before="120" w:beforeLines="50" w:after="120" w:afterLines="50" w:line="360" w:lineRule="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Moreover, a</w:t>
      </w:r>
      <w:r>
        <w:rPr>
          <w:rFonts w:hint="default" w:ascii="Times New Roman" w:hAnsi="Times New Roman" w:cs="Times New Roman"/>
          <w:szCs w:val="21"/>
          <w:lang w:val="en-US" w:eastAsia="zh-CN"/>
        </w:rPr>
        <w:t xml:space="preserve">fter introducing the </w:t>
      </w:r>
      <w:r>
        <w:rPr>
          <w:rFonts w:hint="eastAsia" w:ascii="Times New Roman" w:hAnsi="Times New Roman" w:cs="Times New Roman"/>
          <w:szCs w:val="21"/>
          <w:lang w:val="en-US" w:eastAsia="zh-CN"/>
        </w:rPr>
        <w:t xml:space="preserve">enhanced </w:t>
      </w:r>
      <w:r>
        <w:rPr>
          <w:rFonts w:hint="default" w:ascii="Times New Roman" w:hAnsi="Times New Roman" w:cs="Times New Roman"/>
          <w:szCs w:val="21"/>
          <w:lang w:val="en-US" w:eastAsia="zh-CN"/>
        </w:rPr>
        <w:t>polling mechanism, there will be two types of polling mechanisms in the system</w:t>
      </w:r>
      <w:r>
        <w:rPr>
          <w:rFonts w:hint="eastAsia" w:ascii="Times New Roman" w:hAnsi="Times New Roman" w:cs="Times New Roman"/>
          <w:szCs w:val="21"/>
          <w:lang w:val="en-US" w:eastAsia="zh-CN"/>
        </w:rPr>
        <w:t>, legacy polling and enhanced polling</w:t>
      </w:r>
      <w:r>
        <w:rPr>
          <w:rFonts w:hint="default" w:ascii="Times New Roman" w:hAnsi="Times New Roman" w:cs="Times New Roman"/>
          <w:szCs w:val="21"/>
          <w:lang w:val="en-US" w:eastAsia="zh-CN"/>
        </w:rPr>
        <w:t xml:space="preserve">. Considering that the functionalities of these two polling mechanisms are very similar, or even identical, it is </w:t>
      </w:r>
      <w:r>
        <w:rPr>
          <w:rFonts w:hint="eastAsia" w:ascii="Times New Roman" w:hAnsi="Times New Roman" w:cs="Times New Roman"/>
          <w:szCs w:val="21"/>
          <w:lang w:val="en-US" w:eastAsia="zh-CN"/>
        </w:rPr>
        <w:t xml:space="preserve">also </w:t>
      </w:r>
      <w:r>
        <w:rPr>
          <w:rFonts w:hint="default" w:ascii="Times New Roman" w:hAnsi="Times New Roman" w:cs="Times New Roman"/>
          <w:szCs w:val="21"/>
          <w:lang w:val="en-US" w:eastAsia="zh-CN"/>
        </w:rPr>
        <w:t>necessary to avoid triggering unnecessary polling operations</w:t>
      </w:r>
      <w:r>
        <w:rPr>
          <w:rFonts w:hint="eastAsia" w:ascii="Times New Roman" w:hAnsi="Times New Roman" w:cs="Times New Roman"/>
          <w:szCs w:val="21"/>
          <w:lang w:val="en-US" w:eastAsia="zh-CN"/>
        </w:rPr>
        <w:t xml:space="preserve"> between legacy polling and enhanced polling</w:t>
      </w:r>
      <w:r>
        <w:rPr>
          <w:rFonts w:hint="default" w:ascii="Times New Roman" w:hAnsi="Times New Roman" w:cs="Times New Roman"/>
          <w:szCs w:val="21"/>
          <w:lang w:val="en-US" w:eastAsia="zh-CN"/>
        </w:rPr>
        <w:t xml:space="preserve">. </w:t>
      </w:r>
    </w:p>
    <w:p w14:paraId="7B2A7A51">
      <w:pPr>
        <w:spacing w:before="120" w:beforeLines="50" w:after="120" w:afterLines="50" w:line="360" w:lineRule="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To avoid </w:t>
      </w:r>
      <w:r>
        <w:rPr>
          <w:rFonts w:hint="default" w:ascii="Times New Roman" w:hAnsi="Times New Roman" w:cs="Times New Roman"/>
          <w:szCs w:val="21"/>
          <w:lang w:val="en-US" w:eastAsia="zh-CN"/>
        </w:rPr>
        <w:t>unnecessary polling</w:t>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 xml:space="preserve">one possible solution is to implement a common polling suppression mechanism for both legacy polling and </w:t>
      </w:r>
      <w:r>
        <w:rPr>
          <w:rFonts w:hint="eastAsia" w:ascii="Times New Roman" w:hAnsi="Times New Roman" w:cs="Times New Roman"/>
          <w:szCs w:val="21"/>
          <w:lang w:val="en-US" w:eastAsia="zh-CN"/>
        </w:rPr>
        <w:t xml:space="preserve">enhanced </w:t>
      </w:r>
      <w:r>
        <w:rPr>
          <w:rFonts w:hint="default" w:ascii="Times New Roman" w:hAnsi="Times New Roman" w:cs="Times New Roman"/>
          <w:szCs w:val="21"/>
          <w:lang w:val="en-US" w:eastAsia="zh-CN"/>
        </w:rPr>
        <w:t xml:space="preserve">polling. Specifically, once a polling operation is triggered, a polling suppression time period will be set. During this time period, even if the triggering conditions are met, polling will not be activated, including both legacy polling and </w:t>
      </w:r>
      <w:r>
        <w:rPr>
          <w:rFonts w:hint="eastAsia" w:ascii="Times New Roman" w:hAnsi="Times New Roman" w:cs="Times New Roman"/>
          <w:szCs w:val="21"/>
          <w:lang w:val="en-US" w:eastAsia="zh-CN"/>
        </w:rPr>
        <w:t xml:space="preserve">enhanced </w:t>
      </w:r>
      <w:r>
        <w:rPr>
          <w:rFonts w:hint="default" w:ascii="Times New Roman" w:hAnsi="Times New Roman" w:cs="Times New Roman"/>
          <w:szCs w:val="21"/>
          <w:lang w:val="en-US" w:eastAsia="zh-CN"/>
        </w:rPr>
        <w:t>polling.</w:t>
      </w:r>
    </w:p>
    <w:p w14:paraId="44C6D471">
      <w:pPr>
        <w:spacing w:after="120" w:afterLines="50" w:line="360" w:lineRule="auto"/>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polling suppression mechanism for both legacy and enhanced polling to avoid unnecessary polling</w:t>
      </w:r>
      <w:r>
        <w:rPr>
          <w:rFonts w:ascii="Times New Roman" w:hAnsi="Times New Roman" w:cs="Times New Roman"/>
          <w:b/>
          <w:bCs/>
          <w:i/>
          <w:iCs/>
          <w:szCs w:val="21"/>
        </w:rPr>
        <w:t>.</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szCs w:val="21"/>
          <w:lang w:val="en-US" w:eastAsia="zh-CN"/>
        </w:rPr>
        <w:t>the FFS and other remaining issues for timely</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RLC re</w:t>
      </w:r>
      <w:r>
        <w:rPr>
          <w:rFonts w:hint="eastAsia" w:ascii="Times New Roman" w:hAnsi="Times New Roman" w:cs="Times New Roman"/>
          <w:szCs w:val="21"/>
        </w:rPr>
        <w:t>transm</w:t>
      </w:r>
      <w:r>
        <w:rPr>
          <w:rFonts w:hint="eastAsia" w:ascii="Times New Roman" w:hAnsi="Times New Roman" w:cs="Times New Roman"/>
          <w:szCs w:val="21"/>
          <w:lang w:val="en-US" w:eastAsia="zh-CN"/>
        </w:rPr>
        <w:t>ission</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118DC28F">
      <w:pPr>
        <w:spacing w:after="120" w:afterLines="50"/>
        <w:rPr>
          <w:rFonts w:hint="default" w:ascii="Times New Roman" w:hAnsi="Times New Roman" w:cs="Times New Roman"/>
          <w:b/>
          <w:bCs/>
          <w:i/>
          <w:iCs/>
          <w:szCs w:val="21"/>
          <w:lang w:val="en-US"/>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new timer in the RLC transmission entity for each SDU to trigger autonomous retransmission and enhanced polling</w:t>
      </w:r>
      <w:r>
        <w:rPr>
          <w:rFonts w:ascii="Times New Roman" w:hAnsi="Times New Roman" w:cs="Times New Roman"/>
          <w:b/>
          <w:bCs/>
          <w:i/>
          <w:iCs/>
          <w:szCs w:val="21"/>
        </w:rPr>
        <w:t>.</w:t>
      </w:r>
    </w:p>
    <w:p w14:paraId="3404DBAC">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polling suppression mechanism for both legacy and enhanced polling to avoid unnecessary polling</w:t>
      </w:r>
      <w:r>
        <w:rPr>
          <w:rFonts w:ascii="Times New Roman" w:hAnsi="Times New Roman" w:cs="Times New Roman"/>
          <w:b/>
          <w:bCs/>
          <w:i/>
          <w:iCs/>
          <w:szCs w:val="21"/>
        </w:rPr>
        <w: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70146DC0"/>
    <w:multiLevelType w:val="multilevel"/>
    <w:tmpl w:val="70146DC0"/>
    <w:lvl w:ilvl="0" w:tentative="0">
      <w:start w:val="1"/>
      <w:numFmt w:val="bullet"/>
      <w:pStyle w:val="54"/>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3">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31B28AD"/>
    <w:rsid w:val="034877EC"/>
    <w:rsid w:val="034E4A60"/>
    <w:rsid w:val="03DD6AF5"/>
    <w:rsid w:val="047162D4"/>
    <w:rsid w:val="049F168E"/>
    <w:rsid w:val="04BD145A"/>
    <w:rsid w:val="04E00808"/>
    <w:rsid w:val="055E50A5"/>
    <w:rsid w:val="0568310D"/>
    <w:rsid w:val="05720F2C"/>
    <w:rsid w:val="05756793"/>
    <w:rsid w:val="05A47ACE"/>
    <w:rsid w:val="05BB24F7"/>
    <w:rsid w:val="05D76C05"/>
    <w:rsid w:val="06897EFF"/>
    <w:rsid w:val="072D40F1"/>
    <w:rsid w:val="074D2750"/>
    <w:rsid w:val="07522471"/>
    <w:rsid w:val="07FE2B1F"/>
    <w:rsid w:val="08B2294B"/>
    <w:rsid w:val="08FC1348"/>
    <w:rsid w:val="092A7ACA"/>
    <w:rsid w:val="09452F63"/>
    <w:rsid w:val="09680EB8"/>
    <w:rsid w:val="09ED2CA5"/>
    <w:rsid w:val="0A481A1C"/>
    <w:rsid w:val="0AE314B1"/>
    <w:rsid w:val="0AEC2FE8"/>
    <w:rsid w:val="0B260413"/>
    <w:rsid w:val="0B9C06D5"/>
    <w:rsid w:val="0BB62E8D"/>
    <w:rsid w:val="0C110567"/>
    <w:rsid w:val="0C397531"/>
    <w:rsid w:val="0C470E4F"/>
    <w:rsid w:val="0C812E6D"/>
    <w:rsid w:val="0C9E047D"/>
    <w:rsid w:val="0D733868"/>
    <w:rsid w:val="0D9546F5"/>
    <w:rsid w:val="0DD51C7C"/>
    <w:rsid w:val="0DD65942"/>
    <w:rsid w:val="0DEA753C"/>
    <w:rsid w:val="0DF57134"/>
    <w:rsid w:val="0E4A6F14"/>
    <w:rsid w:val="0E762255"/>
    <w:rsid w:val="0ED3362B"/>
    <w:rsid w:val="0EF50B08"/>
    <w:rsid w:val="0F672DA8"/>
    <w:rsid w:val="0F6D5043"/>
    <w:rsid w:val="0F723A91"/>
    <w:rsid w:val="10E32902"/>
    <w:rsid w:val="1109680C"/>
    <w:rsid w:val="118934A9"/>
    <w:rsid w:val="11DF6823"/>
    <w:rsid w:val="121758CF"/>
    <w:rsid w:val="1282108C"/>
    <w:rsid w:val="12D167AA"/>
    <w:rsid w:val="130D0D24"/>
    <w:rsid w:val="13826402"/>
    <w:rsid w:val="13A42136"/>
    <w:rsid w:val="14C710A8"/>
    <w:rsid w:val="14CD7B51"/>
    <w:rsid w:val="150B58AE"/>
    <w:rsid w:val="151A266A"/>
    <w:rsid w:val="160067D9"/>
    <w:rsid w:val="160846A5"/>
    <w:rsid w:val="16161084"/>
    <w:rsid w:val="161A4308"/>
    <w:rsid w:val="163254BE"/>
    <w:rsid w:val="16D13B64"/>
    <w:rsid w:val="16E04FC6"/>
    <w:rsid w:val="17470EF1"/>
    <w:rsid w:val="1776514E"/>
    <w:rsid w:val="17CB192C"/>
    <w:rsid w:val="17FC2567"/>
    <w:rsid w:val="18356139"/>
    <w:rsid w:val="188B110E"/>
    <w:rsid w:val="18910936"/>
    <w:rsid w:val="18B03A11"/>
    <w:rsid w:val="18C221F9"/>
    <w:rsid w:val="18CD08A1"/>
    <w:rsid w:val="19014CAF"/>
    <w:rsid w:val="193D7353"/>
    <w:rsid w:val="197462BA"/>
    <w:rsid w:val="199F6F5F"/>
    <w:rsid w:val="19AE61A3"/>
    <w:rsid w:val="1A28231A"/>
    <w:rsid w:val="1A4E237A"/>
    <w:rsid w:val="1AF178CF"/>
    <w:rsid w:val="1B267FBB"/>
    <w:rsid w:val="1BBF1850"/>
    <w:rsid w:val="1C047A3E"/>
    <w:rsid w:val="1C1804EA"/>
    <w:rsid w:val="1C9A2F02"/>
    <w:rsid w:val="1CDB4C0A"/>
    <w:rsid w:val="1CE43C8A"/>
    <w:rsid w:val="1D745AA6"/>
    <w:rsid w:val="1E1A2095"/>
    <w:rsid w:val="1E2E78B2"/>
    <w:rsid w:val="1E3A680D"/>
    <w:rsid w:val="1E48054C"/>
    <w:rsid w:val="1E4C42FA"/>
    <w:rsid w:val="1EAC1325"/>
    <w:rsid w:val="1EE00915"/>
    <w:rsid w:val="1F4F5F36"/>
    <w:rsid w:val="1F606D74"/>
    <w:rsid w:val="1F833B28"/>
    <w:rsid w:val="20085EE1"/>
    <w:rsid w:val="205F59D0"/>
    <w:rsid w:val="20931D81"/>
    <w:rsid w:val="20CE6D52"/>
    <w:rsid w:val="20E24984"/>
    <w:rsid w:val="20EF2BFD"/>
    <w:rsid w:val="219805DB"/>
    <w:rsid w:val="21AE2EDA"/>
    <w:rsid w:val="224551CB"/>
    <w:rsid w:val="229C5AE9"/>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91805BC"/>
    <w:rsid w:val="2944442E"/>
    <w:rsid w:val="297974EE"/>
    <w:rsid w:val="29B34A3B"/>
    <w:rsid w:val="2A8645D2"/>
    <w:rsid w:val="2AF479DB"/>
    <w:rsid w:val="2B017AE4"/>
    <w:rsid w:val="2B1C0A93"/>
    <w:rsid w:val="2B1E480B"/>
    <w:rsid w:val="2B4C75CA"/>
    <w:rsid w:val="2B5B780D"/>
    <w:rsid w:val="2BD42BB5"/>
    <w:rsid w:val="2BE37795"/>
    <w:rsid w:val="2C7F5656"/>
    <w:rsid w:val="2CBF3DCB"/>
    <w:rsid w:val="2D0871C8"/>
    <w:rsid w:val="2D804734"/>
    <w:rsid w:val="2DC55411"/>
    <w:rsid w:val="2F885129"/>
    <w:rsid w:val="2FA71273"/>
    <w:rsid w:val="2FC46822"/>
    <w:rsid w:val="2FCD67FF"/>
    <w:rsid w:val="303B772F"/>
    <w:rsid w:val="31696757"/>
    <w:rsid w:val="31DE1D58"/>
    <w:rsid w:val="321F68F6"/>
    <w:rsid w:val="32741B27"/>
    <w:rsid w:val="32B819E9"/>
    <w:rsid w:val="331210F9"/>
    <w:rsid w:val="33185FE3"/>
    <w:rsid w:val="331B468F"/>
    <w:rsid w:val="334F5FA3"/>
    <w:rsid w:val="335229B5"/>
    <w:rsid w:val="33B8055B"/>
    <w:rsid w:val="340824FC"/>
    <w:rsid w:val="34F46CC2"/>
    <w:rsid w:val="34F9242A"/>
    <w:rsid w:val="353A3B9A"/>
    <w:rsid w:val="353D648E"/>
    <w:rsid w:val="35584DBD"/>
    <w:rsid w:val="35834C4F"/>
    <w:rsid w:val="35B5220F"/>
    <w:rsid w:val="35F033B2"/>
    <w:rsid w:val="365F25F1"/>
    <w:rsid w:val="36633A19"/>
    <w:rsid w:val="367B459C"/>
    <w:rsid w:val="36B02E3E"/>
    <w:rsid w:val="36DE12F2"/>
    <w:rsid w:val="37871C5F"/>
    <w:rsid w:val="37DF5322"/>
    <w:rsid w:val="38C14F85"/>
    <w:rsid w:val="38D95C84"/>
    <w:rsid w:val="395152B1"/>
    <w:rsid w:val="39C7397A"/>
    <w:rsid w:val="39C922D2"/>
    <w:rsid w:val="3A0E3D7F"/>
    <w:rsid w:val="3A1B148B"/>
    <w:rsid w:val="3AC96BFA"/>
    <w:rsid w:val="3B0B0E31"/>
    <w:rsid w:val="3B90705F"/>
    <w:rsid w:val="3BA42B0A"/>
    <w:rsid w:val="3C5E1386"/>
    <w:rsid w:val="3C6A376B"/>
    <w:rsid w:val="3C9C7C85"/>
    <w:rsid w:val="3CAD3871"/>
    <w:rsid w:val="3D0E6612"/>
    <w:rsid w:val="3D794C69"/>
    <w:rsid w:val="3E247F32"/>
    <w:rsid w:val="3E4459B8"/>
    <w:rsid w:val="3E9926CE"/>
    <w:rsid w:val="3EED0255"/>
    <w:rsid w:val="3F010273"/>
    <w:rsid w:val="3F177A97"/>
    <w:rsid w:val="3F6658E6"/>
    <w:rsid w:val="3F6F6A24"/>
    <w:rsid w:val="3FD80FD4"/>
    <w:rsid w:val="3FF50ECF"/>
    <w:rsid w:val="40E57C57"/>
    <w:rsid w:val="40FE523C"/>
    <w:rsid w:val="410C5707"/>
    <w:rsid w:val="42A539CE"/>
    <w:rsid w:val="42CC4813"/>
    <w:rsid w:val="434D4C01"/>
    <w:rsid w:val="435C04A2"/>
    <w:rsid w:val="43E11412"/>
    <w:rsid w:val="43FC748C"/>
    <w:rsid w:val="440525B4"/>
    <w:rsid w:val="44093E52"/>
    <w:rsid w:val="446F1C68"/>
    <w:rsid w:val="45264590"/>
    <w:rsid w:val="45961716"/>
    <w:rsid w:val="45A35BE1"/>
    <w:rsid w:val="460F14C8"/>
    <w:rsid w:val="46C61D41"/>
    <w:rsid w:val="47150D60"/>
    <w:rsid w:val="471748B1"/>
    <w:rsid w:val="477E6B3A"/>
    <w:rsid w:val="47943CC6"/>
    <w:rsid w:val="47B42CE1"/>
    <w:rsid w:val="48053ACE"/>
    <w:rsid w:val="48147269"/>
    <w:rsid w:val="483D1D78"/>
    <w:rsid w:val="48517B76"/>
    <w:rsid w:val="487E765D"/>
    <w:rsid w:val="492522E2"/>
    <w:rsid w:val="49380D36"/>
    <w:rsid w:val="49CE695A"/>
    <w:rsid w:val="4AE66BEE"/>
    <w:rsid w:val="4AF131EF"/>
    <w:rsid w:val="4AF40C8C"/>
    <w:rsid w:val="4B407715"/>
    <w:rsid w:val="4BA83F51"/>
    <w:rsid w:val="4BBB7216"/>
    <w:rsid w:val="4C6A7458"/>
    <w:rsid w:val="4C813C70"/>
    <w:rsid w:val="4CA236C3"/>
    <w:rsid w:val="4D096C71"/>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F103B2"/>
    <w:rsid w:val="520C50B4"/>
    <w:rsid w:val="521F0CE5"/>
    <w:rsid w:val="53185506"/>
    <w:rsid w:val="54A24E32"/>
    <w:rsid w:val="561B7217"/>
    <w:rsid w:val="56FD00CF"/>
    <w:rsid w:val="57027519"/>
    <w:rsid w:val="572629E8"/>
    <w:rsid w:val="575C092A"/>
    <w:rsid w:val="577E7095"/>
    <w:rsid w:val="578C2978"/>
    <w:rsid w:val="57A646D9"/>
    <w:rsid w:val="57DD1426"/>
    <w:rsid w:val="5877685D"/>
    <w:rsid w:val="589A1FD6"/>
    <w:rsid w:val="59975605"/>
    <w:rsid w:val="59AA78C5"/>
    <w:rsid w:val="59C3464B"/>
    <w:rsid w:val="59FD045D"/>
    <w:rsid w:val="5A177BA2"/>
    <w:rsid w:val="5A1F15C9"/>
    <w:rsid w:val="5A6F20DD"/>
    <w:rsid w:val="5B1C5C72"/>
    <w:rsid w:val="5B404577"/>
    <w:rsid w:val="5B73375B"/>
    <w:rsid w:val="5BDE576D"/>
    <w:rsid w:val="5C1E4010"/>
    <w:rsid w:val="5C844822"/>
    <w:rsid w:val="5CBB16CF"/>
    <w:rsid w:val="5CC46711"/>
    <w:rsid w:val="5D0A091D"/>
    <w:rsid w:val="5D105DFA"/>
    <w:rsid w:val="5D4930BA"/>
    <w:rsid w:val="5D770C37"/>
    <w:rsid w:val="5DF57F28"/>
    <w:rsid w:val="5E24773B"/>
    <w:rsid w:val="5E3B3C08"/>
    <w:rsid w:val="5EEA61D6"/>
    <w:rsid w:val="5EEC63F2"/>
    <w:rsid w:val="5EF01530"/>
    <w:rsid w:val="5FA041B9"/>
    <w:rsid w:val="5FBE4D46"/>
    <w:rsid w:val="60997EB4"/>
    <w:rsid w:val="611963CD"/>
    <w:rsid w:val="616E573B"/>
    <w:rsid w:val="62B92A90"/>
    <w:rsid w:val="62E34874"/>
    <w:rsid w:val="62E8147A"/>
    <w:rsid w:val="630B132E"/>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79C60E3"/>
    <w:rsid w:val="683A590B"/>
    <w:rsid w:val="683A5F02"/>
    <w:rsid w:val="6845574B"/>
    <w:rsid w:val="685376AF"/>
    <w:rsid w:val="68F57755"/>
    <w:rsid w:val="695F47F3"/>
    <w:rsid w:val="696A6892"/>
    <w:rsid w:val="69CA7330"/>
    <w:rsid w:val="69F148BD"/>
    <w:rsid w:val="6A3B5FBD"/>
    <w:rsid w:val="6A497336"/>
    <w:rsid w:val="6B3C6A30"/>
    <w:rsid w:val="6B8F25DF"/>
    <w:rsid w:val="6C7D4B2E"/>
    <w:rsid w:val="6CB06CB1"/>
    <w:rsid w:val="6CEB5ACA"/>
    <w:rsid w:val="6DBB3B60"/>
    <w:rsid w:val="6E6C7C05"/>
    <w:rsid w:val="6F2B2544"/>
    <w:rsid w:val="6F4060E9"/>
    <w:rsid w:val="706B5A59"/>
    <w:rsid w:val="70A04FBC"/>
    <w:rsid w:val="70BD3D49"/>
    <w:rsid w:val="72041505"/>
    <w:rsid w:val="72317325"/>
    <w:rsid w:val="726E73F3"/>
    <w:rsid w:val="72872262"/>
    <w:rsid w:val="72A863A1"/>
    <w:rsid w:val="73403ED7"/>
    <w:rsid w:val="740946D6"/>
    <w:rsid w:val="740B2A1F"/>
    <w:rsid w:val="740D49E9"/>
    <w:rsid w:val="74566E86"/>
    <w:rsid w:val="745A5137"/>
    <w:rsid w:val="754B7177"/>
    <w:rsid w:val="75E11C8A"/>
    <w:rsid w:val="76462308"/>
    <w:rsid w:val="772665FC"/>
    <w:rsid w:val="772B48E7"/>
    <w:rsid w:val="775F740B"/>
    <w:rsid w:val="785C7CED"/>
    <w:rsid w:val="78610694"/>
    <w:rsid w:val="788A13BF"/>
    <w:rsid w:val="78A377B2"/>
    <w:rsid w:val="793A002E"/>
    <w:rsid w:val="79404F19"/>
    <w:rsid w:val="797C2D3C"/>
    <w:rsid w:val="79E42D9A"/>
    <w:rsid w:val="7A314C2F"/>
    <w:rsid w:val="7A3727C0"/>
    <w:rsid w:val="7AAD7251"/>
    <w:rsid w:val="7ABC00E2"/>
    <w:rsid w:val="7B0074FE"/>
    <w:rsid w:val="7B061127"/>
    <w:rsid w:val="7B503B8C"/>
    <w:rsid w:val="7B727157"/>
    <w:rsid w:val="7BDB223D"/>
    <w:rsid w:val="7C081A90"/>
    <w:rsid w:val="7C0B3F04"/>
    <w:rsid w:val="7C2571BC"/>
    <w:rsid w:val="7C9E5DD3"/>
    <w:rsid w:val="7CA15039"/>
    <w:rsid w:val="7CD54AA1"/>
    <w:rsid w:val="7D240BEB"/>
    <w:rsid w:val="7D8D41BC"/>
    <w:rsid w:val="7E5E656D"/>
    <w:rsid w:val="7E6E42D6"/>
    <w:rsid w:val="7E894D3F"/>
    <w:rsid w:val="7EA146AC"/>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numPr>
        <w:ilvl w:val="2"/>
      </w:numPr>
      <w:outlineLvl w:val="2"/>
    </w:pPr>
    <w:rPr>
      <w:sz w:val="32"/>
    </w:rPr>
  </w:style>
  <w:style w:type="paragraph" w:styleId="5">
    <w:name w:val="heading 4"/>
    <w:basedOn w:val="4"/>
    <w:next w:val="1"/>
    <w:link w:val="35"/>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6"/>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Body Text"/>
    <w:basedOn w:val="1"/>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48"/>
    <w:autoRedefine/>
    <w:semiHidden/>
    <w:unhideWhenUsed/>
    <w:qFormat/>
    <w:uiPriority w:val="99"/>
    <w:rPr>
      <w:sz w:val="18"/>
      <w:szCs w:val="18"/>
    </w:rPr>
  </w:style>
  <w:style w:type="paragraph" w:styleId="15">
    <w:name w:val="footer"/>
    <w:basedOn w:val="1"/>
    <w:link w:val="45"/>
    <w:autoRedefine/>
    <w:unhideWhenUsed/>
    <w:qFormat/>
    <w:uiPriority w:val="99"/>
    <w:pPr>
      <w:tabs>
        <w:tab w:val="center" w:pos="4153"/>
        <w:tab w:val="right" w:pos="8306"/>
      </w:tabs>
      <w:snapToGrid w:val="0"/>
      <w:jc w:val="left"/>
    </w:pPr>
    <w:rPr>
      <w:sz w:val="18"/>
      <w:szCs w:val="18"/>
    </w:rPr>
  </w:style>
  <w:style w:type="paragraph" w:styleId="16">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qFormat/>
    <w:uiPriority w:val="0"/>
    <w:rPr>
      <w:color w:val="800080"/>
      <w:u w:val="single"/>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7"/>
    <w:autoRedefine/>
    <w:qFormat/>
    <w:uiPriority w:val="0"/>
  </w:style>
  <w:style w:type="paragraph" w:customStyle="1" w:styleId="43">
    <w:name w:val="NO"/>
    <w:basedOn w:val="1"/>
    <w:autoRedefine/>
    <w:qFormat/>
    <w:uiPriority w:val="0"/>
    <w:pPr>
      <w:keepLines/>
      <w:ind w:left="1135" w:hanging="851"/>
    </w:pPr>
  </w:style>
  <w:style w:type="character" w:customStyle="1" w:styleId="44">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autoRedefine/>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49">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1">
    <w:name w:val="Comments"/>
    <w:basedOn w:val="1"/>
    <w:autoRedefine/>
    <w:qFormat/>
    <w:uiPriority w:val="0"/>
    <w:rPr>
      <w:i/>
      <w:sz w:val="18"/>
    </w:rPr>
  </w:style>
  <w:style w:type="paragraph" w:customStyle="1" w:styleId="52">
    <w:name w:val="B2"/>
    <w:basedOn w:val="1"/>
    <w:autoRedefine/>
    <w:qFormat/>
    <w:uiPriority w:val="0"/>
    <w:pPr>
      <w:ind w:left="851" w:hanging="284"/>
    </w:pPr>
  </w:style>
  <w:style w:type="paragraph" w:customStyle="1" w:styleId="53">
    <w:name w:val="B3"/>
    <w:basedOn w:val="1"/>
    <w:autoRedefine/>
    <w:qFormat/>
    <w:uiPriority w:val="0"/>
    <w:pPr>
      <w:ind w:left="1135" w:hanging="284"/>
    </w:pPr>
  </w:style>
  <w:style w:type="paragraph" w:customStyle="1" w:styleId="54">
    <w:name w:val="Agreement"/>
    <w:basedOn w:val="1"/>
    <w:next w:val="26"/>
    <w:autoRedefine/>
    <w:qFormat/>
    <w:uiPriority w:val="99"/>
    <w:pPr>
      <w:numPr>
        <w:ilvl w:val="0"/>
        <w:numId w:val="2"/>
      </w:numPr>
      <w:tabs>
        <w:tab w:val="left" w:pos="1619"/>
        <w:tab w:val="clear" w:pos="2039"/>
      </w:tabs>
      <w:spacing w:before="60"/>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488</Words>
  <Characters>2684</Characters>
  <Lines>52</Lines>
  <Paragraphs>14</Paragraphs>
  <TotalTime>1</TotalTime>
  <ScaleCrop>false</ScaleCrop>
  <LinksUpToDate>false</LinksUpToDate>
  <CharactersWithSpaces>3161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2025-03-28T07:39:00Z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5077A2AE2FD54A2BAEDFC54711781A8F_13</vt:lpwstr>
  </property>
  <property fmtid="{D5CDD505-2E9C-101B-9397-08002B2CF9AE}" pid="4" name="KSOTemplateDocerSaveRecord">
    <vt:lpwstr>eyJoZGlkIjoiYTZkZWNlYTA0MDg2ZTc3NmRlNDJmOGU5YjFkMTIzYmYiLCJ1c2VySWQiOiI1MDMzMTQ0MjYifQ==</vt:lpwstr>
  </property>
</Properties>
</file>